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A87F" w14:textId="7765E0C9" w:rsidR="00C507B9" w:rsidRDefault="00A803E8" w:rsidP="008B260C">
      <w:pPr>
        <w:spacing w:after="0" w:line="240" w:lineRule="auto"/>
        <w:jc w:val="center"/>
        <w:rPr>
          <w:b/>
          <w:bCs/>
        </w:rPr>
      </w:pPr>
      <w:r w:rsidRPr="79C079CD">
        <w:rPr>
          <w:b/>
          <w:bCs/>
        </w:rPr>
        <w:t>Professional Advising</w:t>
      </w:r>
      <w:r w:rsidR="7BA4BF5C" w:rsidRPr="79C079CD">
        <w:rPr>
          <w:b/>
          <w:bCs/>
        </w:rPr>
        <w:t>/Faculty Mentoring</w:t>
      </w:r>
      <w:r w:rsidR="00C507B9" w:rsidRPr="79C079CD">
        <w:rPr>
          <w:b/>
          <w:bCs/>
        </w:rPr>
        <w:t xml:space="preserve"> </w:t>
      </w:r>
      <w:r w:rsidR="00FA0EE2" w:rsidRPr="79C079CD">
        <w:rPr>
          <w:b/>
          <w:bCs/>
        </w:rPr>
        <w:t xml:space="preserve">Program </w:t>
      </w:r>
      <w:r w:rsidR="00331642" w:rsidRPr="79C079CD">
        <w:rPr>
          <w:b/>
          <w:bCs/>
        </w:rPr>
        <w:t xml:space="preserve">for </w:t>
      </w:r>
      <w:r w:rsidR="00F42DB5">
        <w:rPr>
          <w:b/>
          <w:bCs/>
        </w:rPr>
        <w:t>B</w:t>
      </w:r>
      <w:r w:rsidR="00331642" w:rsidRPr="79C079CD">
        <w:rPr>
          <w:b/>
          <w:bCs/>
        </w:rPr>
        <w:t>SW Students</w:t>
      </w:r>
    </w:p>
    <w:p w14:paraId="648A2055" w14:textId="77777777" w:rsidR="008B260C" w:rsidRPr="00C507B9" w:rsidRDefault="008B260C" w:rsidP="008B260C">
      <w:pPr>
        <w:spacing w:after="0" w:line="240" w:lineRule="auto"/>
        <w:jc w:val="center"/>
        <w:rPr>
          <w:b/>
          <w:bCs/>
        </w:rPr>
      </w:pPr>
    </w:p>
    <w:p w14:paraId="0B730564" w14:textId="303E68B0" w:rsidR="00C507B9" w:rsidRDefault="00A803E8" w:rsidP="00C507B9">
      <w:pPr>
        <w:spacing w:after="0" w:line="240" w:lineRule="auto"/>
      </w:pPr>
      <w:r>
        <w:t xml:space="preserve">The Council on Social Work Education (CSWE) </w:t>
      </w:r>
      <w:r w:rsidR="00C507B9">
        <w:t xml:space="preserve">Educational Policies and </w:t>
      </w:r>
      <w:r>
        <w:t xml:space="preserve">Accreditation Standards </w:t>
      </w:r>
      <w:r w:rsidR="00C507B9">
        <w:t>(EPAS) requires all BSW and MSW programs to provide academic and professional advising</w:t>
      </w:r>
      <w:r w:rsidR="00E15E60">
        <w:t xml:space="preserve"> to their students</w:t>
      </w:r>
      <w:r w:rsidR="00C507B9">
        <w:t xml:space="preserve">. Specifically, </w:t>
      </w:r>
      <w:r w:rsidR="00C507B9" w:rsidRPr="00E15E60">
        <w:rPr>
          <w:i/>
          <w:iCs/>
        </w:rPr>
        <w:t>Accreditation Standard 4.1: Student Development— Admissions; Advisement, Retention, and Termination; and Student Participation</w:t>
      </w:r>
      <w:r w:rsidR="00C507B9">
        <w:t xml:space="preserve"> </w:t>
      </w:r>
      <w:r w:rsidR="00FA0EE2">
        <w:t xml:space="preserve">outlines the expectations of student advising. </w:t>
      </w:r>
    </w:p>
    <w:p w14:paraId="33B58AB0" w14:textId="77777777" w:rsidR="00C507B9" w:rsidRDefault="00C507B9" w:rsidP="00C507B9">
      <w:pPr>
        <w:spacing w:after="0" w:line="240" w:lineRule="auto"/>
      </w:pPr>
    </w:p>
    <w:p w14:paraId="07341534" w14:textId="56A2842D" w:rsidR="00C507B9" w:rsidRPr="00C507B9" w:rsidRDefault="00C507B9" w:rsidP="00C507B9">
      <w:pPr>
        <w:spacing w:after="0" w:line="240" w:lineRule="auto"/>
        <w:rPr>
          <w:b/>
          <w:bCs/>
        </w:rPr>
      </w:pPr>
      <w:r w:rsidRPr="00C507B9">
        <w:rPr>
          <w:b/>
          <w:bCs/>
        </w:rPr>
        <w:t>Advising, Retention, and Termination</w:t>
      </w:r>
    </w:p>
    <w:p w14:paraId="041411EA" w14:textId="3142C0B7" w:rsidR="00C507B9" w:rsidRDefault="00C507B9" w:rsidP="00FA0EE2">
      <w:pPr>
        <w:spacing w:after="0" w:line="240" w:lineRule="auto"/>
      </w:pPr>
      <w:proofErr w:type="gramStart"/>
      <w:r>
        <w:t>4.1.6  The</w:t>
      </w:r>
      <w:proofErr w:type="gramEnd"/>
      <w:r>
        <w:t xml:space="preserve"> program has policies for academic advising and professional advising.</w:t>
      </w:r>
      <w:r w:rsidR="00FA0EE2">
        <w:t xml:space="preserve"> </w:t>
      </w:r>
      <w:r>
        <w:t>Professional advising is provided by social work program faculty or staff.</w:t>
      </w:r>
    </w:p>
    <w:p w14:paraId="10FFF1F0" w14:textId="2ED8D265" w:rsidR="00C507B9" w:rsidRDefault="00C507B9" w:rsidP="00FA0EE2">
      <w:pPr>
        <w:pStyle w:val="ListParagraph"/>
        <w:numPr>
          <w:ilvl w:val="0"/>
          <w:numId w:val="4"/>
        </w:numPr>
        <w:spacing w:after="0" w:line="240" w:lineRule="auto"/>
      </w:pPr>
      <w:r>
        <w:t>The program provides its policy for academic advising.</w:t>
      </w:r>
    </w:p>
    <w:p w14:paraId="513C2E94" w14:textId="4F0C28A2" w:rsidR="00C507B9" w:rsidRDefault="00C507B9" w:rsidP="00FA0EE2">
      <w:pPr>
        <w:pStyle w:val="ListParagraph"/>
        <w:numPr>
          <w:ilvl w:val="0"/>
          <w:numId w:val="4"/>
        </w:numPr>
        <w:spacing w:after="0" w:line="240" w:lineRule="auto"/>
      </w:pPr>
      <w:r>
        <w:t>The program provides its policy for professional advising, including that professional advising is provided by social work program faculty or staff.</w:t>
      </w:r>
    </w:p>
    <w:p w14:paraId="0CD3B43E" w14:textId="0E418B74" w:rsidR="00C507B9" w:rsidRDefault="00C507B9" w:rsidP="00FA0EE2">
      <w:pPr>
        <w:pStyle w:val="ListParagraph"/>
        <w:numPr>
          <w:ilvl w:val="0"/>
          <w:numId w:val="4"/>
        </w:numPr>
        <w:spacing w:after="0" w:line="240" w:lineRule="auto"/>
      </w:pPr>
      <w:r>
        <w:t>The program describes how these policies are articulated.</w:t>
      </w:r>
    </w:p>
    <w:p w14:paraId="3B2D858F" w14:textId="1A0AEF81" w:rsidR="00A803E8" w:rsidRDefault="00C507B9" w:rsidP="00FA0EE2">
      <w:pPr>
        <w:pStyle w:val="ListParagraph"/>
        <w:numPr>
          <w:ilvl w:val="0"/>
          <w:numId w:val="4"/>
        </w:numPr>
        <w:spacing w:after="0" w:line="240" w:lineRule="auto"/>
      </w:pPr>
      <w:r>
        <w:t>The program addresses all program options</w:t>
      </w:r>
    </w:p>
    <w:p w14:paraId="2E518E13" w14:textId="77777777" w:rsidR="00BC7AB0" w:rsidRDefault="00BC7AB0" w:rsidP="00C507B9">
      <w:pPr>
        <w:spacing w:after="0" w:line="240" w:lineRule="auto"/>
      </w:pPr>
    </w:p>
    <w:p w14:paraId="445DE767" w14:textId="391B9695" w:rsidR="00C507B9" w:rsidRDefault="389B461A" w:rsidP="00C507B9">
      <w:pPr>
        <w:spacing w:after="0" w:line="240" w:lineRule="auto"/>
      </w:pPr>
      <w:r>
        <w:t xml:space="preserve">Professional advising </w:t>
      </w:r>
      <w:r w:rsidR="202F9B1B">
        <w:t xml:space="preserve">can play a critical role in increasing student connection and improving retention by fostering a </w:t>
      </w:r>
      <w:r w:rsidR="16BAAB92">
        <w:t xml:space="preserve">supportive, engaging, and personalized educational experience. </w:t>
      </w:r>
      <w:r w:rsidR="66425B1F">
        <w:t xml:space="preserve">It is an opportunity to build connections between students and faculty and </w:t>
      </w:r>
      <w:r w:rsidR="0C2283A8">
        <w:t xml:space="preserve">to </w:t>
      </w:r>
      <w:r w:rsidR="66425B1F">
        <w:t xml:space="preserve">help </w:t>
      </w:r>
      <w:r w:rsidR="0A8502E7">
        <w:t>students</w:t>
      </w:r>
      <w:r w:rsidR="66425B1F">
        <w:t xml:space="preserve"> integrate </w:t>
      </w:r>
      <w:r w:rsidR="427F578E">
        <w:t xml:space="preserve">themselves </w:t>
      </w:r>
      <w:r w:rsidR="66425B1F">
        <w:t>into the academic community. Professional advising also</w:t>
      </w:r>
      <w:r w:rsidR="16BAAB92">
        <w:t xml:space="preserve"> help</w:t>
      </w:r>
      <w:r w:rsidR="4A58938B">
        <w:t xml:space="preserve">s </w:t>
      </w:r>
      <w:r w:rsidR="16BAAB92">
        <w:t>students alig</w:t>
      </w:r>
      <w:r w:rsidR="3D0F8356">
        <w:t xml:space="preserve">n </w:t>
      </w:r>
      <w:r w:rsidR="16BAAB92">
        <w:t>their academic efforts with their career aspirations</w:t>
      </w:r>
      <w:r w:rsidR="69AE4F1F">
        <w:t>. It can</w:t>
      </w:r>
      <w:r w:rsidR="2B20064A">
        <w:t xml:space="preserve"> provide them with the necessary support to be successful in graduate school and in the social work profession. </w:t>
      </w:r>
    </w:p>
    <w:p w14:paraId="19C707CA" w14:textId="6408FDBD" w:rsidR="00C507B9" w:rsidRDefault="00C507B9" w:rsidP="00C507B9">
      <w:pPr>
        <w:spacing w:after="0" w:line="240" w:lineRule="auto"/>
      </w:pPr>
    </w:p>
    <w:p w14:paraId="060C3D73" w14:textId="515EF5FF" w:rsidR="00C507B9" w:rsidRDefault="2B20064A" w:rsidP="00C507B9">
      <w:pPr>
        <w:spacing w:after="0" w:line="240" w:lineRule="auto"/>
      </w:pPr>
      <w:r>
        <w:t>T</w:t>
      </w:r>
      <w:r w:rsidR="00C507B9">
        <w:t xml:space="preserve">he primary goals of </w:t>
      </w:r>
      <w:r w:rsidR="00BC7AB0">
        <w:t>professional</w:t>
      </w:r>
      <w:r w:rsidR="00C507B9">
        <w:t xml:space="preserve"> advising include:</w:t>
      </w:r>
    </w:p>
    <w:p w14:paraId="2387C402" w14:textId="77E41EDD" w:rsidR="00C507B9" w:rsidRDefault="00C507B9" w:rsidP="00C507B9">
      <w:pPr>
        <w:pStyle w:val="ListParagraph"/>
        <w:numPr>
          <w:ilvl w:val="0"/>
          <w:numId w:val="5"/>
        </w:numPr>
        <w:spacing w:after="0" w:line="240" w:lineRule="auto"/>
      </w:pPr>
      <w:r w:rsidRPr="1EE34604">
        <w:rPr>
          <w:b/>
          <w:bCs/>
        </w:rPr>
        <w:t>Career Development:</w:t>
      </w:r>
      <w:r>
        <w:t xml:space="preserve"> </w:t>
      </w:r>
      <w:r w:rsidR="00C3708D">
        <w:t>Faculty</w:t>
      </w:r>
      <w:r w:rsidR="00BC7AB0">
        <w:t xml:space="preserve"> and staff</w:t>
      </w:r>
      <w:r w:rsidR="00C3708D">
        <w:t xml:space="preserve"> help g</w:t>
      </w:r>
      <w:r>
        <w:t xml:space="preserve">uide students in exploring career paths within social work, developing career goals, and identifying </w:t>
      </w:r>
      <w:r w:rsidR="00C3708D">
        <w:t xml:space="preserve">educational and professional </w:t>
      </w:r>
      <w:r>
        <w:t xml:space="preserve">opportunities </w:t>
      </w:r>
      <w:r w:rsidR="00C3708D">
        <w:t>that align with their career goals.</w:t>
      </w:r>
    </w:p>
    <w:p w14:paraId="1E9C1419" w14:textId="2CBFD16B" w:rsidR="00C507B9" w:rsidRPr="00C507B9" w:rsidRDefault="00C507B9" w:rsidP="00C507B9">
      <w:pPr>
        <w:pStyle w:val="ListParagraph"/>
        <w:numPr>
          <w:ilvl w:val="0"/>
          <w:numId w:val="5"/>
        </w:numPr>
        <w:spacing w:after="0" w:line="240" w:lineRule="auto"/>
      </w:pPr>
      <w:r w:rsidRPr="1EE34604">
        <w:rPr>
          <w:b/>
          <w:bCs/>
        </w:rPr>
        <w:t>Professional Identity Formation:</w:t>
      </w:r>
      <w:r>
        <w:t xml:space="preserve"> </w:t>
      </w:r>
      <w:r w:rsidR="00C3708D">
        <w:t>Faculty</w:t>
      </w:r>
      <w:r w:rsidR="00BC7AB0">
        <w:t xml:space="preserve"> and staff</w:t>
      </w:r>
      <w:r w:rsidR="00C3708D">
        <w:t xml:space="preserve"> h</w:t>
      </w:r>
      <w:r>
        <w:t xml:space="preserve">elp students cultivate a strong sense of professional identity by </w:t>
      </w:r>
      <w:r w:rsidR="00C3708D">
        <w:t xml:space="preserve">encouraging students to develop a clear understanding of their role as social workers. Faculty also assist students by </w:t>
      </w:r>
      <w:r>
        <w:t>connecting them with mentors, professional organizations, and networking opportunities.</w:t>
      </w:r>
    </w:p>
    <w:p w14:paraId="3FF185ED" w14:textId="7E996212" w:rsidR="1EE34604" w:rsidRDefault="1EE34604" w:rsidP="1EE34604">
      <w:pPr>
        <w:spacing w:after="0" w:line="240" w:lineRule="auto"/>
      </w:pPr>
    </w:p>
    <w:p w14:paraId="08EACA6C" w14:textId="78FA8D7C" w:rsidR="00C507B9" w:rsidRDefault="00C507B9" w:rsidP="00C507B9">
      <w:pPr>
        <w:spacing w:after="0" w:line="240" w:lineRule="auto"/>
      </w:pPr>
      <w:r>
        <w:t>Faculty and staff who are assigned to provide professional advising should adhere to the following guidelines:</w:t>
      </w:r>
    </w:p>
    <w:p w14:paraId="4970C586" w14:textId="07BC6D07" w:rsidR="00C507B9" w:rsidRDefault="00C507B9" w:rsidP="00C3708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Schedule at least </w:t>
      </w:r>
      <w:r w:rsidR="56BD9687">
        <w:t xml:space="preserve">one </w:t>
      </w:r>
      <w:r w:rsidR="43642493">
        <w:t>30–45-minute</w:t>
      </w:r>
      <w:r>
        <w:t xml:space="preserve"> virtual group sessions each semester with advisees</w:t>
      </w:r>
      <w:r w:rsidR="00050EFF">
        <w:t xml:space="preserve"> to accommodate main campus and online students</w:t>
      </w:r>
      <w:r w:rsidR="6F28CBD9">
        <w:t xml:space="preserve">. Each session should have a detailed </w:t>
      </w:r>
      <w:r w:rsidR="73D5A9ED">
        <w:t>plan</w:t>
      </w:r>
      <w:r w:rsidR="30378F43">
        <w:t>, be recorded, and shared with all advisee</w:t>
      </w:r>
      <w:r w:rsidR="0997E084">
        <w:t>s</w:t>
      </w:r>
      <w:r w:rsidR="73D5A9ED">
        <w:t xml:space="preserve">. </w:t>
      </w:r>
    </w:p>
    <w:p w14:paraId="34680481" w14:textId="2C1B1768" w:rsidR="00DF23D1" w:rsidRDefault="00DF23D1" w:rsidP="00C3708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Track attendance for each group session. </w:t>
      </w:r>
    </w:p>
    <w:p w14:paraId="130F9EAD" w14:textId="25E54ADA" w:rsidR="00C3708D" w:rsidRDefault="00C3708D" w:rsidP="00C3708D">
      <w:pPr>
        <w:pStyle w:val="ListParagraph"/>
        <w:numPr>
          <w:ilvl w:val="0"/>
          <w:numId w:val="6"/>
        </w:numPr>
        <w:spacing w:after="0" w:line="240" w:lineRule="auto"/>
      </w:pPr>
      <w:r>
        <w:t>Provide periodic check-ins via email</w:t>
      </w:r>
      <w:r w:rsidR="485DCA96">
        <w:t xml:space="preserve"> throughout the academic year</w:t>
      </w:r>
      <w:r>
        <w:t xml:space="preserve">. </w:t>
      </w:r>
    </w:p>
    <w:p w14:paraId="632A8169" w14:textId="49796ED8" w:rsidR="00DF23D1" w:rsidRDefault="00C507B9" w:rsidP="00DF23D1">
      <w:pPr>
        <w:pStyle w:val="ListParagraph"/>
        <w:numPr>
          <w:ilvl w:val="0"/>
          <w:numId w:val="6"/>
        </w:numPr>
        <w:spacing w:after="0" w:line="240" w:lineRule="auto"/>
      </w:pPr>
      <w:r>
        <w:t>Provide individual professional advising appointments as requested</w:t>
      </w:r>
      <w:r w:rsidR="008B260C">
        <w:t>.</w:t>
      </w:r>
    </w:p>
    <w:p w14:paraId="18580A67" w14:textId="1681544B" w:rsidR="008B260C" w:rsidRDefault="008B260C" w:rsidP="00DF23D1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Document all professional advising activities. </w:t>
      </w:r>
    </w:p>
    <w:p w14:paraId="66ACE9D0" w14:textId="0A176174" w:rsidR="1EE34604" w:rsidRDefault="1EE34604" w:rsidP="1EE34604">
      <w:pPr>
        <w:spacing w:after="0" w:line="240" w:lineRule="auto"/>
      </w:pPr>
    </w:p>
    <w:p w14:paraId="68AF04B2" w14:textId="3CD417E8" w:rsidR="5F6E256A" w:rsidRDefault="5F6E256A" w:rsidP="1EE34604">
      <w:pPr>
        <w:spacing w:after="0" w:line="240" w:lineRule="auto"/>
        <w:rPr>
          <w:b/>
          <w:bCs/>
        </w:rPr>
      </w:pPr>
      <w:r w:rsidRPr="1EE34604">
        <w:rPr>
          <w:b/>
          <w:bCs/>
        </w:rPr>
        <w:t>Suggested Topics for Group Sessions</w:t>
      </w:r>
    </w:p>
    <w:p w14:paraId="67BACBEF" w14:textId="0B6AD2ED" w:rsidR="26721B0A" w:rsidRDefault="26721B0A" w:rsidP="1EE3460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Exploring the development of a professional self </w:t>
      </w:r>
    </w:p>
    <w:p w14:paraId="10AB3B68" w14:textId="7BBC7C48" w:rsidR="7988E0C1" w:rsidRDefault="7988E0C1" w:rsidP="1EE34604">
      <w:pPr>
        <w:pStyle w:val="ListParagraph"/>
        <w:numPr>
          <w:ilvl w:val="0"/>
          <w:numId w:val="1"/>
        </w:numPr>
        <w:spacing w:after="0" w:line="240" w:lineRule="auto"/>
      </w:pPr>
      <w:r>
        <w:t>Exploring career interest and goals and determining next steps</w:t>
      </w:r>
    </w:p>
    <w:p w14:paraId="0B505A8F" w14:textId="5B16BF2D" w:rsidR="7988E0C1" w:rsidRDefault="7988E0C1" w:rsidP="1EE34604">
      <w:pPr>
        <w:pStyle w:val="ListParagraph"/>
        <w:numPr>
          <w:ilvl w:val="0"/>
          <w:numId w:val="1"/>
        </w:numPr>
        <w:spacing w:after="0" w:line="240" w:lineRule="auto"/>
      </w:pPr>
      <w:r>
        <w:t>Searching and applying for social work jobs</w:t>
      </w:r>
      <w:r w:rsidR="05B9B2B7">
        <w:t xml:space="preserve"> (job search strategies including key sites for </w:t>
      </w:r>
      <w:r w:rsidR="5B4264CA">
        <w:t xml:space="preserve">social work jobs, effective resume and cover letter writing, preparing for job interviews, negotiating job offers, etc.) </w:t>
      </w:r>
    </w:p>
    <w:p w14:paraId="1834E865" w14:textId="07456C1F" w:rsidR="7988E0C1" w:rsidRDefault="7988E0C1" w:rsidP="1EE34604">
      <w:pPr>
        <w:pStyle w:val="ListParagraph"/>
        <w:numPr>
          <w:ilvl w:val="0"/>
          <w:numId w:val="1"/>
        </w:numPr>
        <w:spacing w:after="0" w:line="240" w:lineRule="auto"/>
      </w:pPr>
      <w:r>
        <w:t>Discussing the importance of licensure for social work practice a</w:t>
      </w:r>
      <w:r w:rsidR="7E22534D">
        <w:t>long with the</w:t>
      </w:r>
      <w:r>
        <w:t xml:space="preserve"> licensure process</w:t>
      </w:r>
    </w:p>
    <w:p w14:paraId="318C7055" w14:textId="02E5965B" w:rsidR="7988E0C1" w:rsidRDefault="7988E0C1" w:rsidP="1EE34604">
      <w:pPr>
        <w:pStyle w:val="ListParagraph"/>
        <w:numPr>
          <w:ilvl w:val="0"/>
          <w:numId w:val="1"/>
        </w:numPr>
        <w:spacing w:after="0" w:line="240" w:lineRule="auto"/>
      </w:pPr>
      <w:r>
        <w:t>Addressing ethical dilemmas in practice and applying the NASW Code of Ethics</w:t>
      </w:r>
    </w:p>
    <w:p w14:paraId="7072D028" w14:textId="68B14726" w:rsidR="7988E0C1" w:rsidRDefault="7988E0C1" w:rsidP="1EE3460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Discussing the </w:t>
      </w:r>
      <w:r w:rsidR="624F7B71">
        <w:t>significance</w:t>
      </w:r>
      <w:r>
        <w:t xml:space="preserve"> of continuing education and lifelong learning </w:t>
      </w:r>
    </w:p>
    <w:p w14:paraId="7FCE57E1" w14:textId="00D6ACD8" w:rsidR="60104633" w:rsidRDefault="60104633" w:rsidP="1EE34604">
      <w:pPr>
        <w:pStyle w:val="ListParagraph"/>
        <w:numPr>
          <w:ilvl w:val="0"/>
          <w:numId w:val="1"/>
        </w:numPr>
        <w:spacing w:after="0" w:line="240" w:lineRule="auto"/>
      </w:pPr>
      <w:r>
        <w:t>Discussing the value of mento</w:t>
      </w:r>
      <w:r w:rsidR="3720694B">
        <w:t xml:space="preserve">rship and </w:t>
      </w:r>
      <w:r w:rsidR="23D71459">
        <w:t xml:space="preserve">professional </w:t>
      </w:r>
      <w:r w:rsidR="3720694B">
        <w:t xml:space="preserve">networking </w:t>
      </w:r>
    </w:p>
    <w:p w14:paraId="565304EC" w14:textId="1EF8315D" w:rsidR="55118461" w:rsidRDefault="55118461" w:rsidP="1EE34604">
      <w:pPr>
        <w:pStyle w:val="ListParagraph"/>
        <w:numPr>
          <w:ilvl w:val="0"/>
          <w:numId w:val="1"/>
        </w:numPr>
        <w:spacing w:after="0" w:line="240" w:lineRule="auto"/>
      </w:pPr>
      <w:r>
        <w:t>Creating and strengthening a research a</w:t>
      </w:r>
      <w:r w:rsidR="4BCD178C">
        <w:t>genda</w:t>
      </w:r>
    </w:p>
    <w:p w14:paraId="7C3AC484" w14:textId="7AA105F7" w:rsidR="4BCD178C" w:rsidRDefault="4BCD178C" w:rsidP="1EE3460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Creating a work-life balance </w:t>
      </w:r>
      <w:r w:rsidR="7838792C">
        <w:t>as social work student and future social work practitioner</w:t>
      </w:r>
    </w:p>
    <w:p w14:paraId="11EDC8AD" w14:textId="77777777" w:rsidR="00C507B9" w:rsidRDefault="00C507B9" w:rsidP="00C507B9">
      <w:pPr>
        <w:spacing w:after="0" w:line="240" w:lineRule="auto"/>
      </w:pPr>
    </w:p>
    <w:p w14:paraId="41FE9C84" w14:textId="77777777" w:rsidR="00A803E8" w:rsidRDefault="00A803E8" w:rsidP="00C507B9">
      <w:pPr>
        <w:spacing w:after="0" w:line="240" w:lineRule="auto"/>
      </w:pPr>
    </w:p>
    <w:p w14:paraId="7CDD8C75" w14:textId="1A93A4CA" w:rsidR="00A803E8" w:rsidRDefault="00A803E8" w:rsidP="00C507B9">
      <w:pPr>
        <w:spacing w:after="0" w:line="240" w:lineRule="auto"/>
      </w:pPr>
    </w:p>
    <w:sectPr w:rsidR="00A803E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E8F6" w14:textId="77777777" w:rsidR="008B260C" w:rsidRDefault="008B260C" w:rsidP="008B260C">
      <w:pPr>
        <w:spacing w:after="0" w:line="240" w:lineRule="auto"/>
      </w:pPr>
      <w:r>
        <w:separator/>
      </w:r>
    </w:p>
  </w:endnote>
  <w:endnote w:type="continuationSeparator" w:id="0">
    <w:p w14:paraId="1D796C8F" w14:textId="77777777" w:rsidR="008B260C" w:rsidRDefault="008B260C" w:rsidP="008B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20798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3ED470A" w14:textId="047ECC57" w:rsidR="008B260C" w:rsidRPr="008B260C" w:rsidRDefault="008B260C">
        <w:pPr>
          <w:pStyle w:val="Footer"/>
          <w:jc w:val="right"/>
          <w:rPr>
            <w:sz w:val="20"/>
            <w:szCs w:val="20"/>
          </w:rPr>
        </w:pPr>
        <w:r w:rsidRPr="008B260C">
          <w:rPr>
            <w:sz w:val="20"/>
            <w:szCs w:val="20"/>
          </w:rPr>
          <w:fldChar w:fldCharType="begin"/>
        </w:r>
        <w:r w:rsidRPr="008B260C">
          <w:rPr>
            <w:sz w:val="20"/>
            <w:szCs w:val="20"/>
          </w:rPr>
          <w:instrText xml:space="preserve"> PAGE   \* MERGEFORMAT </w:instrText>
        </w:r>
        <w:r w:rsidRPr="008B260C">
          <w:rPr>
            <w:sz w:val="20"/>
            <w:szCs w:val="20"/>
          </w:rPr>
          <w:fldChar w:fldCharType="separate"/>
        </w:r>
        <w:r w:rsidRPr="008B260C">
          <w:rPr>
            <w:noProof/>
            <w:sz w:val="20"/>
            <w:szCs w:val="20"/>
          </w:rPr>
          <w:t>2</w:t>
        </w:r>
        <w:r w:rsidRPr="008B260C">
          <w:rPr>
            <w:noProof/>
            <w:sz w:val="20"/>
            <w:szCs w:val="20"/>
          </w:rPr>
          <w:fldChar w:fldCharType="end"/>
        </w:r>
      </w:p>
    </w:sdtContent>
  </w:sdt>
  <w:p w14:paraId="3BA74658" w14:textId="77777777" w:rsidR="008B260C" w:rsidRDefault="008B2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955F6" w14:textId="77777777" w:rsidR="008B260C" w:rsidRDefault="008B260C" w:rsidP="008B260C">
      <w:pPr>
        <w:spacing w:after="0" w:line="240" w:lineRule="auto"/>
      </w:pPr>
      <w:r>
        <w:separator/>
      </w:r>
    </w:p>
  </w:footnote>
  <w:footnote w:type="continuationSeparator" w:id="0">
    <w:p w14:paraId="783E1499" w14:textId="77777777" w:rsidR="008B260C" w:rsidRDefault="008B260C" w:rsidP="008B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E34604" w14:paraId="6F4A5317" w14:textId="77777777" w:rsidTr="1EE34604">
      <w:trPr>
        <w:trHeight w:val="300"/>
      </w:trPr>
      <w:tc>
        <w:tcPr>
          <w:tcW w:w="3120" w:type="dxa"/>
        </w:tcPr>
        <w:p w14:paraId="574DCE3B" w14:textId="66E4D8BD" w:rsidR="1EE34604" w:rsidRDefault="1EE34604" w:rsidP="1EE34604">
          <w:pPr>
            <w:pStyle w:val="Header"/>
            <w:ind w:left="-115"/>
          </w:pPr>
        </w:p>
      </w:tc>
      <w:tc>
        <w:tcPr>
          <w:tcW w:w="3120" w:type="dxa"/>
        </w:tcPr>
        <w:p w14:paraId="3411D10D" w14:textId="1987FE31" w:rsidR="1EE34604" w:rsidRDefault="1EE34604" w:rsidP="1EE34604">
          <w:pPr>
            <w:pStyle w:val="Header"/>
            <w:jc w:val="center"/>
          </w:pPr>
        </w:p>
      </w:tc>
      <w:tc>
        <w:tcPr>
          <w:tcW w:w="3120" w:type="dxa"/>
        </w:tcPr>
        <w:p w14:paraId="5394B5B9" w14:textId="3F6210F5" w:rsidR="1EE34604" w:rsidRDefault="1EE34604" w:rsidP="1EE34604">
          <w:pPr>
            <w:pStyle w:val="Header"/>
            <w:ind w:right="-115"/>
            <w:jc w:val="right"/>
          </w:pPr>
        </w:p>
      </w:tc>
    </w:tr>
  </w:tbl>
  <w:p w14:paraId="2DF4E551" w14:textId="3561A745" w:rsidR="1EE34604" w:rsidRDefault="1EE34604" w:rsidP="1EE34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E596"/>
    <w:multiLevelType w:val="hybridMultilevel"/>
    <w:tmpl w:val="F4C6D104"/>
    <w:lvl w:ilvl="0" w:tplc="0D9C7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63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A5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AB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CA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4A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A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04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44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E011C"/>
    <w:multiLevelType w:val="hybridMultilevel"/>
    <w:tmpl w:val="8F343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91068"/>
    <w:multiLevelType w:val="hybridMultilevel"/>
    <w:tmpl w:val="FEC8E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40F9B"/>
    <w:multiLevelType w:val="hybridMultilevel"/>
    <w:tmpl w:val="D388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64209"/>
    <w:multiLevelType w:val="hybridMultilevel"/>
    <w:tmpl w:val="4474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16F56"/>
    <w:multiLevelType w:val="hybridMultilevel"/>
    <w:tmpl w:val="1C9E1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425800">
    <w:abstractNumId w:val="0"/>
  </w:num>
  <w:num w:numId="2" w16cid:durableId="1663701677">
    <w:abstractNumId w:val="3"/>
  </w:num>
  <w:num w:numId="3" w16cid:durableId="776406211">
    <w:abstractNumId w:val="5"/>
  </w:num>
  <w:num w:numId="4" w16cid:durableId="240718671">
    <w:abstractNumId w:val="2"/>
  </w:num>
  <w:num w:numId="5" w16cid:durableId="1559121302">
    <w:abstractNumId w:val="1"/>
  </w:num>
  <w:num w:numId="6" w16cid:durableId="674654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E8"/>
    <w:rsid w:val="00050EFF"/>
    <w:rsid w:val="00284421"/>
    <w:rsid w:val="002A0060"/>
    <w:rsid w:val="00331642"/>
    <w:rsid w:val="00390A1C"/>
    <w:rsid w:val="003D039F"/>
    <w:rsid w:val="004E56C7"/>
    <w:rsid w:val="005312CE"/>
    <w:rsid w:val="006B1E69"/>
    <w:rsid w:val="00855199"/>
    <w:rsid w:val="008B260C"/>
    <w:rsid w:val="00A803E8"/>
    <w:rsid w:val="00BC7AB0"/>
    <w:rsid w:val="00C3708D"/>
    <w:rsid w:val="00C507B9"/>
    <w:rsid w:val="00DF23D1"/>
    <w:rsid w:val="00E15E60"/>
    <w:rsid w:val="00F42DB5"/>
    <w:rsid w:val="00F86C59"/>
    <w:rsid w:val="00FA0EE2"/>
    <w:rsid w:val="05B9B2B7"/>
    <w:rsid w:val="05FE7D59"/>
    <w:rsid w:val="0997E084"/>
    <w:rsid w:val="0A8502E7"/>
    <w:rsid w:val="0C2283A8"/>
    <w:rsid w:val="0DEAA072"/>
    <w:rsid w:val="0F725E97"/>
    <w:rsid w:val="114378EB"/>
    <w:rsid w:val="1544D95B"/>
    <w:rsid w:val="1558797A"/>
    <w:rsid w:val="16BAAB92"/>
    <w:rsid w:val="17B79721"/>
    <w:rsid w:val="195982F4"/>
    <w:rsid w:val="1995893D"/>
    <w:rsid w:val="1B885443"/>
    <w:rsid w:val="1EE34604"/>
    <w:rsid w:val="1F01C5D8"/>
    <w:rsid w:val="1F81F4F7"/>
    <w:rsid w:val="202F9B1B"/>
    <w:rsid w:val="207FF7E3"/>
    <w:rsid w:val="2243356B"/>
    <w:rsid w:val="22F4EE33"/>
    <w:rsid w:val="23D71459"/>
    <w:rsid w:val="26721B0A"/>
    <w:rsid w:val="291583FC"/>
    <w:rsid w:val="2B20064A"/>
    <w:rsid w:val="2FE7E324"/>
    <w:rsid w:val="30378F43"/>
    <w:rsid w:val="34163DBB"/>
    <w:rsid w:val="35A4B482"/>
    <w:rsid w:val="3720694B"/>
    <w:rsid w:val="389B461A"/>
    <w:rsid w:val="398AC987"/>
    <w:rsid w:val="3A13CACD"/>
    <w:rsid w:val="3CE00CAD"/>
    <w:rsid w:val="3D0F8356"/>
    <w:rsid w:val="402F9B49"/>
    <w:rsid w:val="427F578E"/>
    <w:rsid w:val="43642493"/>
    <w:rsid w:val="44DE8D1D"/>
    <w:rsid w:val="485DCA96"/>
    <w:rsid w:val="490CF42F"/>
    <w:rsid w:val="4A58938B"/>
    <w:rsid w:val="4BCD178C"/>
    <w:rsid w:val="4DF80BEA"/>
    <w:rsid w:val="50EFEB8D"/>
    <w:rsid w:val="55118461"/>
    <w:rsid w:val="56BD9687"/>
    <w:rsid w:val="570C38CE"/>
    <w:rsid w:val="571C98D8"/>
    <w:rsid w:val="574BE3CB"/>
    <w:rsid w:val="58E6B9FC"/>
    <w:rsid w:val="596914DA"/>
    <w:rsid w:val="5B4264CA"/>
    <w:rsid w:val="5BF3F157"/>
    <w:rsid w:val="5F6E256A"/>
    <w:rsid w:val="60104633"/>
    <w:rsid w:val="60865113"/>
    <w:rsid w:val="6182FF11"/>
    <w:rsid w:val="62421845"/>
    <w:rsid w:val="624F7B71"/>
    <w:rsid w:val="66425B1F"/>
    <w:rsid w:val="69709951"/>
    <w:rsid w:val="69AE4F1F"/>
    <w:rsid w:val="69D03877"/>
    <w:rsid w:val="69E9EC9C"/>
    <w:rsid w:val="6B481C23"/>
    <w:rsid w:val="6F28CBD9"/>
    <w:rsid w:val="71969004"/>
    <w:rsid w:val="71D999F7"/>
    <w:rsid w:val="722AFDEF"/>
    <w:rsid w:val="731CC2AF"/>
    <w:rsid w:val="737D2727"/>
    <w:rsid w:val="739952D6"/>
    <w:rsid w:val="73D5A9ED"/>
    <w:rsid w:val="7838792C"/>
    <w:rsid w:val="7839E889"/>
    <w:rsid w:val="784FF357"/>
    <w:rsid w:val="78F6637B"/>
    <w:rsid w:val="7988E0C1"/>
    <w:rsid w:val="79C079CD"/>
    <w:rsid w:val="7BA4BF5C"/>
    <w:rsid w:val="7BAEC7BF"/>
    <w:rsid w:val="7E22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0546"/>
  <w15:chartTrackingRefBased/>
  <w15:docId w15:val="{464A65E7-8BA9-46FF-A939-91BDE687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3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60C"/>
  </w:style>
  <w:style w:type="paragraph" w:styleId="Footer">
    <w:name w:val="footer"/>
    <w:basedOn w:val="Normal"/>
    <w:link w:val="FooterChar"/>
    <w:uiPriority w:val="99"/>
    <w:unhideWhenUsed/>
    <w:rsid w:val="008B2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60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517</Words>
  <Characters>2953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John</dc:creator>
  <cp:keywords/>
  <dc:description/>
  <cp:lastModifiedBy>Sherron Kirk-Wilkes</cp:lastModifiedBy>
  <cp:revision>2</cp:revision>
  <dcterms:created xsi:type="dcterms:W3CDTF">2025-12-08T16:45:00Z</dcterms:created>
  <dcterms:modified xsi:type="dcterms:W3CDTF">2025-12-08T16:45:00Z</dcterms:modified>
</cp:coreProperties>
</file>